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073AA534"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B72C9">
        <w:rPr>
          <w:rFonts w:ascii="Times New Roman" w:eastAsia="Times New Roman" w:hAnsi="Times New Roman"/>
          <w:b/>
          <w:bCs/>
          <w:sz w:val="24"/>
          <w:szCs w:val="24"/>
          <w:lang w:eastAsia="ru-RU"/>
        </w:rPr>
        <w:t>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58F0BE0E"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11 марта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C4B2F7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bookmarkStart w:id="0" w:name="_GoBack"/>
      <w:bookmarkEnd w:id="0"/>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CC11D62" w14:textId="77777777" w:rsidR="00951CB3" w:rsidRDefault="00951CB3" w:rsidP="00951CB3">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1" w:name="_Hlk90911913"/>
      <w:r>
        <w:rPr>
          <w:rFonts w:ascii="Times New Roman" w:eastAsia="Times New Roman" w:hAnsi="Times New Roman"/>
          <w:sz w:val="24"/>
          <w:szCs w:val="24"/>
          <w:lang w:eastAsia="ru-RU"/>
        </w:rPr>
        <w:t xml:space="preserve">Иванова </w:t>
      </w:r>
      <w:proofErr w:type="spellStart"/>
      <w:r>
        <w:rPr>
          <w:rFonts w:ascii="Times New Roman" w:eastAsia="Times New Roman" w:hAnsi="Times New Roman"/>
          <w:sz w:val="24"/>
          <w:szCs w:val="24"/>
          <w:lang w:eastAsia="ru-RU"/>
        </w:rPr>
        <w:t>Дайана</w:t>
      </w:r>
      <w:proofErr w:type="spellEnd"/>
      <w:r>
        <w:rPr>
          <w:rFonts w:ascii="Times New Roman" w:eastAsia="Times New Roman" w:hAnsi="Times New Roman"/>
          <w:sz w:val="24"/>
          <w:szCs w:val="24"/>
          <w:lang w:eastAsia="ru-RU"/>
        </w:rPr>
        <w:t xml:space="preserve"> Константиновна, номер в реестре </w:t>
      </w:r>
      <w:bookmarkEnd w:id="1"/>
      <w:r>
        <w:rPr>
          <w:rFonts w:ascii="Times New Roman" w:eastAsia="Times New Roman" w:hAnsi="Times New Roman"/>
          <w:sz w:val="24"/>
          <w:szCs w:val="24"/>
          <w:lang w:eastAsia="ru-RU"/>
        </w:rPr>
        <w:t>1155.</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6F35B6CB"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951CB3">
        <w:rPr>
          <w:rFonts w:ascii="Times New Roman" w:eastAsia="Times New Roman" w:hAnsi="Times New Roman"/>
          <w:sz w:val="24"/>
          <w:szCs w:val="24"/>
          <w:lang w:eastAsia="ru-RU"/>
        </w:rPr>
        <w:t>11 марта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6BB85EB0"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951CB3">
        <w:rPr>
          <w:rFonts w:ascii="Times New Roman" w:eastAsia="Times New Roman" w:hAnsi="Times New Roman"/>
          <w:sz w:val="24"/>
          <w:szCs w:val="24"/>
          <w:lang w:eastAsia="ru-RU"/>
        </w:rPr>
        <w:t>11 марта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B72C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2EBF-FD09-4F7F-BD0A-05DBB148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2024-03-11T11:31:00Z</cp:lastPrinted>
  <dcterms:created xsi:type="dcterms:W3CDTF">2024-03-11T11:30:00Z</dcterms:created>
  <dcterms:modified xsi:type="dcterms:W3CDTF">2024-03-11T11:31:00Z</dcterms:modified>
</cp:coreProperties>
</file>